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8C" w:rsidRPr="00616AE3" w:rsidRDefault="008B5ED1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INFORME DE LA COMISIÓN DE </w:t>
      </w:r>
      <w:r w:rsidR="003140C2" w:rsidRPr="00616AE3">
        <w:rPr>
          <w:rFonts w:cs="TTE25EBF90t00"/>
          <w:b/>
          <w:color w:val="002060"/>
          <w:sz w:val="24"/>
        </w:rPr>
        <w:t>ORDENACIÓN ACADÉMICA, PROFESORADO Y ALUMNOS DE LA UNIVER</w:t>
      </w:r>
      <w:r w:rsidR="00A90E1D">
        <w:rPr>
          <w:rFonts w:cs="TTE25EBF90t00"/>
          <w:b/>
          <w:color w:val="002060"/>
          <w:sz w:val="24"/>
        </w:rPr>
        <w:t>S</w:t>
      </w:r>
      <w:r w:rsidR="003140C2" w:rsidRPr="00616AE3">
        <w:rPr>
          <w:rFonts w:cs="TTE25EBF90t00"/>
          <w:b/>
          <w:color w:val="002060"/>
          <w:sz w:val="24"/>
        </w:rPr>
        <w:t>IDAD DE CÁDIZ</w:t>
      </w:r>
      <w:r w:rsidR="000F6561" w:rsidRPr="00616AE3">
        <w:rPr>
          <w:rFonts w:cs="TTE25EBF90t00"/>
          <w:b/>
          <w:color w:val="002060"/>
          <w:sz w:val="24"/>
        </w:rPr>
        <w:t xml:space="preserve"> </w:t>
      </w:r>
      <w:r w:rsidR="00CC68C0">
        <w:rPr>
          <w:rFonts w:cs="TTE25EBF90t00"/>
          <w:b/>
          <w:color w:val="002060"/>
          <w:sz w:val="24"/>
        </w:rPr>
        <w:t xml:space="preserve">DE FECHA </w:t>
      </w:r>
      <w:r w:rsidR="000D7D70">
        <w:rPr>
          <w:rFonts w:cs="TTE25EBF90t00"/>
          <w:b/>
          <w:color w:val="002060"/>
          <w:sz w:val="24"/>
        </w:rPr>
        <w:t>14</w:t>
      </w:r>
      <w:r w:rsidR="00CC68C0">
        <w:rPr>
          <w:rFonts w:cs="TTE25EBF90t00"/>
          <w:b/>
          <w:color w:val="002060"/>
          <w:sz w:val="24"/>
        </w:rPr>
        <w:t xml:space="preserve"> DE </w:t>
      </w:r>
      <w:r w:rsidR="000D7D70">
        <w:rPr>
          <w:rFonts w:cs="TTE25EBF90t00"/>
          <w:b/>
          <w:color w:val="002060"/>
          <w:sz w:val="24"/>
        </w:rPr>
        <w:t>SEPTIEMBRE</w:t>
      </w:r>
      <w:r w:rsidR="00CC68C0">
        <w:rPr>
          <w:rFonts w:cs="TTE25EBF90t00"/>
          <w:b/>
          <w:color w:val="002060"/>
          <w:sz w:val="24"/>
        </w:rPr>
        <w:t xml:space="preserve"> DE 2016</w:t>
      </w:r>
    </w:p>
    <w:p w:rsidR="006C0B51" w:rsidRPr="00616AE3" w:rsidRDefault="006E35B1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CONSEJO DE GOBIERNO </w:t>
      </w:r>
      <w:r w:rsidR="000D7D70">
        <w:rPr>
          <w:rFonts w:cs="TTE25EBF90t00"/>
          <w:b/>
          <w:color w:val="002060"/>
          <w:sz w:val="24"/>
        </w:rPr>
        <w:t>OCTUBRE</w:t>
      </w:r>
      <w:r w:rsidR="007A27E9">
        <w:rPr>
          <w:rFonts w:cs="TTE25EBF90t00"/>
          <w:b/>
          <w:color w:val="002060"/>
          <w:sz w:val="24"/>
        </w:rPr>
        <w:t xml:space="preserve"> </w:t>
      </w:r>
      <w:bookmarkStart w:id="0" w:name="_GoBack"/>
      <w:bookmarkEnd w:id="0"/>
      <w:r w:rsidRPr="00616AE3">
        <w:rPr>
          <w:rFonts w:cs="TTE25EBF90t00"/>
          <w:b/>
          <w:color w:val="002060"/>
          <w:sz w:val="24"/>
        </w:rPr>
        <w:t>201</w:t>
      </w:r>
      <w:r w:rsidR="00BC48C7">
        <w:rPr>
          <w:rFonts w:cs="TTE25EBF90t00"/>
          <w:b/>
          <w:color w:val="002060"/>
          <w:sz w:val="24"/>
        </w:rPr>
        <w:t>6</w:t>
      </w:r>
    </w:p>
    <w:p w:rsidR="005E69D2" w:rsidRPr="00616AE3" w:rsidRDefault="005E69D2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F65D8C" w:rsidRPr="00616AE3" w:rsidRDefault="00F65D8C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>Acuerdo de aprobación de reconocimiento de créditos de libre elección de actividades propuestas por Vicerrectorados, Centros y Departamentos</w:t>
      </w:r>
    </w:p>
    <w:p w:rsidR="00BC48C7" w:rsidRPr="00616AE3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292552">
        <w:rPr>
          <w:sz w:val="24"/>
        </w:rPr>
        <w:t xml:space="preserve">Acuerdo de aprobación definitiva de </w:t>
      </w:r>
      <w:r>
        <w:rPr>
          <w:sz w:val="24"/>
        </w:rPr>
        <w:t xml:space="preserve">actividades con </w:t>
      </w:r>
      <w:r w:rsidRPr="00292552">
        <w:rPr>
          <w:sz w:val="24"/>
        </w:rPr>
        <w:t xml:space="preserve">reconocimiento de ECTS </w:t>
      </w:r>
      <w:r>
        <w:rPr>
          <w:sz w:val="24"/>
        </w:rPr>
        <w:t xml:space="preserve">aprobadas inicialmente en sesión de </w:t>
      </w:r>
      <w:r w:rsidR="000D7D70">
        <w:rPr>
          <w:sz w:val="24"/>
        </w:rPr>
        <w:t>6 de mayo</w:t>
      </w:r>
      <w:r>
        <w:rPr>
          <w:sz w:val="24"/>
        </w:rPr>
        <w:t xml:space="preserve"> y nuevas propuestas</w:t>
      </w:r>
      <w:r w:rsidR="007A27E9">
        <w:rPr>
          <w:sz w:val="24"/>
        </w:rPr>
        <w:t>.</w:t>
      </w:r>
      <w:r w:rsidRPr="00292552">
        <w:rPr>
          <w:sz w:val="24"/>
        </w:rPr>
        <w:t xml:space="preserve"> </w:t>
      </w:r>
    </w:p>
    <w:p w:rsidR="003A1BB7" w:rsidRPr="003A1BB7" w:rsidRDefault="003A1BB7" w:rsidP="003A1BB7">
      <w:pPr>
        <w:pStyle w:val="Prrafodelista"/>
        <w:rPr>
          <w:sz w:val="24"/>
        </w:rPr>
      </w:pPr>
    </w:p>
    <w:p w:rsidR="003A1BB7" w:rsidRDefault="003A1BB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 xml:space="preserve">Acuerdo de aprobación definitiva global de actividades con reconocimiento de ECTS </w:t>
      </w:r>
    </w:p>
    <w:p w:rsidR="007A27E9" w:rsidRDefault="007A27E9" w:rsidP="007A27E9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7A27E9" w:rsidRDefault="007A27E9" w:rsidP="007A27E9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 xml:space="preserve">Acuerdo de aprobación inicial de reconocimiento de ECTS de </w:t>
      </w:r>
      <w:r>
        <w:rPr>
          <w:sz w:val="24"/>
        </w:rPr>
        <w:t xml:space="preserve">nuevas </w:t>
      </w:r>
      <w:r w:rsidRPr="00616AE3">
        <w:rPr>
          <w:sz w:val="24"/>
        </w:rPr>
        <w:t>actividades propuestas por Vicerrectorados, Centros y Departamentos</w:t>
      </w:r>
      <w:r>
        <w:rPr>
          <w:sz w:val="24"/>
        </w:rPr>
        <w:t>. Quedan pendientes de remitirse a las Comisiones de Garantía de los Centros y de aprobarse definitivamente en próxima sesión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A3076">
        <w:rPr>
          <w:sz w:val="24"/>
        </w:rPr>
        <w:t xml:space="preserve">Acuerdo de aprobación de </w:t>
      </w:r>
      <w:r>
        <w:rPr>
          <w:sz w:val="24"/>
        </w:rPr>
        <w:t xml:space="preserve">ampliación de la </w:t>
      </w:r>
      <w:r w:rsidRPr="006A3076">
        <w:rPr>
          <w:sz w:val="24"/>
        </w:rPr>
        <w:t xml:space="preserve">oferta formativa de </w:t>
      </w:r>
      <w:r w:rsidR="007A27E9">
        <w:rPr>
          <w:sz w:val="24"/>
        </w:rPr>
        <w:t>verano</w:t>
      </w:r>
      <w:r w:rsidRPr="006A3076">
        <w:rPr>
          <w:sz w:val="24"/>
        </w:rPr>
        <w:t xml:space="preserve"> del curso 2015/16 </w:t>
      </w:r>
      <w:r w:rsidR="000D7D70">
        <w:rPr>
          <w:sz w:val="24"/>
        </w:rPr>
        <w:t xml:space="preserve">y oferta del curso 2016/17 </w:t>
      </w:r>
      <w:r w:rsidRPr="006A3076">
        <w:rPr>
          <w:sz w:val="24"/>
        </w:rPr>
        <w:t xml:space="preserve">del Centro Superior de Lenguas Modernas. </w:t>
      </w:r>
    </w:p>
    <w:p w:rsidR="00BC48C7" w:rsidRPr="006A3076" w:rsidRDefault="00BC48C7" w:rsidP="00BC48C7">
      <w:pPr>
        <w:pStyle w:val="Prrafodelista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A3076">
        <w:rPr>
          <w:sz w:val="24"/>
        </w:rPr>
        <w:t xml:space="preserve">Acuerdo de aprobación de la oferta formativa de títulos propios y formación </w:t>
      </w:r>
      <w:r>
        <w:rPr>
          <w:sz w:val="24"/>
        </w:rPr>
        <w:t xml:space="preserve">continua </w:t>
      </w:r>
      <w:r w:rsidR="00551523">
        <w:rPr>
          <w:sz w:val="24"/>
        </w:rPr>
        <w:t>del curso 201</w:t>
      </w:r>
      <w:r w:rsidR="000D7D70">
        <w:rPr>
          <w:sz w:val="24"/>
        </w:rPr>
        <w:t xml:space="preserve">6/17. 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</w:t>
      </w:r>
      <w:r w:rsidR="000D7D70">
        <w:rPr>
          <w:rFonts w:ascii="Garamond" w:hAnsi="Garamond"/>
          <w:sz w:val="24"/>
          <w:szCs w:val="24"/>
        </w:rPr>
        <w:t xml:space="preserve">venias y </w:t>
      </w:r>
      <w:r w:rsidRPr="00616AE3">
        <w:rPr>
          <w:rFonts w:ascii="Garamond" w:hAnsi="Garamond"/>
          <w:sz w:val="24"/>
          <w:szCs w:val="24"/>
        </w:rPr>
        <w:t xml:space="preserve">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 w:rsidR="000D7D70">
        <w:rPr>
          <w:rFonts w:ascii="Garamond" w:hAnsi="Garamond"/>
          <w:sz w:val="24"/>
          <w:szCs w:val="24"/>
        </w:rPr>
        <w:t>5</w:t>
      </w:r>
      <w:r w:rsidRPr="00616AE3">
        <w:rPr>
          <w:rFonts w:ascii="Garamond" w:hAnsi="Garamond"/>
          <w:sz w:val="24"/>
          <w:szCs w:val="24"/>
        </w:rPr>
        <w:t>/1</w:t>
      </w:r>
      <w:r w:rsidR="000D7D70">
        <w:rPr>
          <w:rFonts w:ascii="Garamond" w:hAnsi="Garamond"/>
          <w:sz w:val="24"/>
          <w:szCs w:val="24"/>
        </w:rPr>
        <w:t>6.</w:t>
      </w:r>
    </w:p>
    <w:p w:rsidR="00F75E41" w:rsidRDefault="00F75E41" w:rsidP="00F75E41">
      <w:pPr>
        <w:pStyle w:val="Prrafodelista"/>
        <w:rPr>
          <w:sz w:val="24"/>
        </w:rPr>
      </w:pPr>
    </w:p>
    <w:p w:rsidR="000D7D70" w:rsidRDefault="000D7D70" w:rsidP="000D7D70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</w:t>
      </w:r>
      <w:r w:rsidR="00245219">
        <w:rPr>
          <w:rFonts w:ascii="Garamond" w:hAnsi="Garamond"/>
          <w:sz w:val="24"/>
          <w:szCs w:val="24"/>
        </w:rPr>
        <w:t>corrección de error del</w:t>
      </w:r>
      <w:r>
        <w:rPr>
          <w:rFonts w:ascii="Garamond" w:hAnsi="Garamond"/>
          <w:sz w:val="24"/>
          <w:szCs w:val="24"/>
        </w:rPr>
        <w:t xml:space="preserve"> acuerdo de </w:t>
      </w:r>
      <w:r w:rsidR="00245219">
        <w:rPr>
          <w:rFonts w:ascii="Garamond" w:hAnsi="Garamond"/>
          <w:sz w:val="24"/>
          <w:szCs w:val="24"/>
        </w:rPr>
        <w:t>17 de febrero de 2016</w:t>
      </w:r>
      <w:r>
        <w:rPr>
          <w:rFonts w:ascii="Garamond" w:hAnsi="Garamond"/>
          <w:sz w:val="24"/>
          <w:szCs w:val="24"/>
        </w:rPr>
        <w:t>, por el que se aprueba el</w:t>
      </w:r>
      <w:r w:rsidRPr="00616AE3">
        <w:rPr>
          <w:rFonts w:ascii="Garamond" w:hAnsi="Garamond"/>
          <w:sz w:val="24"/>
          <w:szCs w:val="24"/>
        </w:rPr>
        <w:t xml:space="preserve"> 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 al curso 201</w:t>
      </w:r>
      <w:r w:rsidR="00245219">
        <w:rPr>
          <w:rFonts w:ascii="Garamond" w:hAnsi="Garamond"/>
          <w:sz w:val="24"/>
          <w:szCs w:val="24"/>
        </w:rPr>
        <w:t>4</w:t>
      </w:r>
      <w:r w:rsidRPr="00616AE3">
        <w:rPr>
          <w:rFonts w:ascii="Garamond" w:hAnsi="Garamond"/>
          <w:sz w:val="24"/>
          <w:szCs w:val="24"/>
        </w:rPr>
        <w:t>/1</w:t>
      </w:r>
      <w:r w:rsidR="00245219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 xml:space="preserve"> </w:t>
      </w:r>
      <w:r w:rsidR="00245219">
        <w:rPr>
          <w:rFonts w:ascii="Garamond" w:hAnsi="Garamond"/>
          <w:sz w:val="24"/>
          <w:szCs w:val="24"/>
        </w:rPr>
        <w:t xml:space="preserve">de una tutora clínica del </w:t>
      </w:r>
      <w:r>
        <w:rPr>
          <w:rFonts w:ascii="Garamond" w:hAnsi="Garamond"/>
          <w:sz w:val="24"/>
          <w:szCs w:val="24"/>
        </w:rPr>
        <w:t xml:space="preserve">Departamento de </w:t>
      </w:r>
      <w:r w:rsidR="00245219">
        <w:rPr>
          <w:rFonts w:ascii="Garamond" w:hAnsi="Garamond"/>
          <w:sz w:val="24"/>
          <w:szCs w:val="24"/>
        </w:rPr>
        <w:t xml:space="preserve">Medicina. </w:t>
      </w:r>
    </w:p>
    <w:p w:rsidR="000D7D70" w:rsidRDefault="000D7D70" w:rsidP="000D7D70">
      <w:pPr>
        <w:pStyle w:val="Prrafodelista"/>
        <w:rPr>
          <w:sz w:val="24"/>
        </w:rPr>
      </w:pPr>
    </w:p>
    <w:p w:rsidR="000D7D70" w:rsidRDefault="000D7D70" w:rsidP="000D7D70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</w:t>
      </w:r>
      <w:r w:rsidR="00245219">
        <w:rPr>
          <w:rFonts w:ascii="Garamond" w:hAnsi="Garamond"/>
          <w:sz w:val="24"/>
          <w:szCs w:val="24"/>
        </w:rPr>
        <w:t>corrección de error del acuerdo de 4 de diciembre de 2015 de r</w:t>
      </w:r>
      <w:r w:rsidRPr="00616AE3">
        <w:rPr>
          <w:rFonts w:ascii="Garamond" w:hAnsi="Garamond"/>
          <w:sz w:val="24"/>
          <w:szCs w:val="24"/>
        </w:rPr>
        <w:t xml:space="preserve">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 w:rsidR="00245219">
        <w:rPr>
          <w:rFonts w:ascii="Garamond" w:hAnsi="Garamond"/>
          <w:sz w:val="24"/>
          <w:szCs w:val="24"/>
        </w:rPr>
        <w:t>4</w:t>
      </w:r>
      <w:r w:rsidRPr="00616AE3">
        <w:rPr>
          <w:rFonts w:ascii="Garamond" w:hAnsi="Garamond"/>
          <w:sz w:val="24"/>
          <w:szCs w:val="24"/>
        </w:rPr>
        <w:t>/1</w:t>
      </w:r>
      <w:r w:rsidR="00245219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 xml:space="preserve"> del Departamento de </w:t>
      </w:r>
      <w:r w:rsidR="00245219">
        <w:rPr>
          <w:rFonts w:ascii="Garamond" w:hAnsi="Garamond"/>
          <w:sz w:val="24"/>
          <w:szCs w:val="24"/>
        </w:rPr>
        <w:t>Enfermería y Fisioterapia</w:t>
      </w:r>
      <w:r>
        <w:rPr>
          <w:rFonts w:ascii="Garamond" w:hAnsi="Garamond"/>
          <w:sz w:val="24"/>
          <w:szCs w:val="24"/>
        </w:rPr>
        <w:t>.</w:t>
      </w: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245219" w:rsidRDefault="00245219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245219" w:rsidRDefault="00245219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E13F95" w:rsidRPr="00616AE3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  <w:r w:rsidRPr="00616AE3">
        <w:rPr>
          <w:sz w:val="24"/>
        </w:rPr>
        <w:t>Carlos Moreno Aguilar</w:t>
      </w:r>
    </w:p>
    <w:p w:rsidR="005D28A5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  <w:r w:rsidRPr="00616AE3">
        <w:rPr>
          <w:sz w:val="24"/>
        </w:rPr>
        <w:t>Vicerrector de Ordenación Académica y Personal</w:t>
      </w:r>
    </w:p>
    <w:sectPr w:rsidR="005D28A5" w:rsidSect="003958C5">
      <w:head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95" w:rsidRDefault="00AD4595">
      <w:r>
        <w:separator/>
      </w:r>
    </w:p>
  </w:endnote>
  <w:endnote w:type="continuationSeparator" w:id="0">
    <w:p w:rsidR="00AD4595" w:rsidRDefault="00AD4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95" w:rsidRDefault="00AD4595">
      <w:r>
        <w:separator/>
      </w:r>
    </w:p>
  </w:footnote>
  <w:footnote w:type="continuationSeparator" w:id="0">
    <w:p w:rsidR="00AD4595" w:rsidRDefault="00AD4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1B" w:rsidRDefault="0040611B">
    <w:pPr>
      <w:pStyle w:val="Encabezado"/>
    </w:pPr>
    <w:r>
      <w:rPr>
        <w:noProof/>
      </w:rPr>
      <w:drawing>
        <wp:inline distT="0" distB="0" distL="0" distR="0" wp14:anchorId="019A5377" wp14:editId="1880B9C0">
          <wp:extent cx="1828800" cy="838200"/>
          <wp:effectExtent l="19050" t="0" r="0" b="0"/>
          <wp:docPr id="1" name="Imagen 1" descr="LOGO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40611B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40611B" w:rsidRDefault="0040611B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1D62B31A" wp14:editId="6E7D9BD6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63D04974" wp14:editId="489ECE2B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40611B" w:rsidRPr="00514851" w:rsidRDefault="0040611B" w:rsidP="003958C5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F581819" wp14:editId="41A12DB4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40611B" w:rsidRDefault="0040611B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40611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</w:t>
          </w:r>
          <w:r w:rsidR="003958C5">
            <w:rPr>
              <w:rFonts w:ascii="Garamond" w:hAnsi="Garamond"/>
              <w:szCs w:val="16"/>
              <w:lang w:val="de-DE"/>
            </w:rPr>
            <w:t>3</w:t>
          </w:r>
          <w:r>
            <w:rPr>
              <w:rFonts w:ascii="Garamond" w:hAnsi="Garamond"/>
              <w:szCs w:val="16"/>
              <w:lang w:val="de-DE"/>
            </w:rPr>
            <w:t xml:space="preserve"> Cádiz</w:t>
          </w:r>
        </w:p>
        <w:p w:rsidR="0040611B" w:rsidRPr="001C0DA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</w:t>
          </w:r>
          <w:r w:rsidR="003958C5">
            <w:rPr>
              <w:rFonts w:ascii="Garamond" w:hAnsi="Garamond"/>
              <w:szCs w:val="16"/>
              <w:lang w:val="de-DE"/>
            </w:rPr>
            <w:t>623</w:t>
          </w:r>
        </w:p>
        <w:p w:rsidR="0040611B" w:rsidRPr="002B7640" w:rsidRDefault="0040611B" w:rsidP="000C064E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6E9"/>
    <w:multiLevelType w:val="hybridMultilevel"/>
    <w:tmpl w:val="3A461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A227A"/>
    <w:multiLevelType w:val="hybridMultilevel"/>
    <w:tmpl w:val="92FC3D48"/>
    <w:lvl w:ilvl="0" w:tplc="2B70C73A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0B5D2A"/>
    <w:multiLevelType w:val="hybridMultilevel"/>
    <w:tmpl w:val="AB7051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609A2"/>
    <w:rsid w:val="00085124"/>
    <w:rsid w:val="000C064E"/>
    <w:rsid w:val="000C0D84"/>
    <w:rsid w:val="000D24FB"/>
    <w:rsid w:val="000D7D70"/>
    <w:rsid w:val="000F6561"/>
    <w:rsid w:val="00113860"/>
    <w:rsid w:val="00125F52"/>
    <w:rsid w:val="0013392C"/>
    <w:rsid w:val="0014434D"/>
    <w:rsid w:val="00172DFD"/>
    <w:rsid w:val="00194EED"/>
    <w:rsid w:val="001959E8"/>
    <w:rsid w:val="001A1617"/>
    <w:rsid w:val="001D75BA"/>
    <w:rsid w:val="0022403D"/>
    <w:rsid w:val="00237CDB"/>
    <w:rsid w:val="00245219"/>
    <w:rsid w:val="00255F5E"/>
    <w:rsid w:val="002722DF"/>
    <w:rsid w:val="0027764D"/>
    <w:rsid w:val="00281D2D"/>
    <w:rsid w:val="00291790"/>
    <w:rsid w:val="00292552"/>
    <w:rsid w:val="002A1876"/>
    <w:rsid w:val="002B082A"/>
    <w:rsid w:val="002C1F02"/>
    <w:rsid w:val="002D2113"/>
    <w:rsid w:val="002D57EB"/>
    <w:rsid w:val="002E1A8E"/>
    <w:rsid w:val="00307AFD"/>
    <w:rsid w:val="003140C2"/>
    <w:rsid w:val="003303FB"/>
    <w:rsid w:val="00352752"/>
    <w:rsid w:val="00370635"/>
    <w:rsid w:val="00374235"/>
    <w:rsid w:val="003877B7"/>
    <w:rsid w:val="003958C5"/>
    <w:rsid w:val="003A1BB7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57B4E"/>
    <w:rsid w:val="0048728E"/>
    <w:rsid w:val="004B3DE6"/>
    <w:rsid w:val="004B6FF2"/>
    <w:rsid w:val="004F1D35"/>
    <w:rsid w:val="00551523"/>
    <w:rsid w:val="00557F4D"/>
    <w:rsid w:val="0057330B"/>
    <w:rsid w:val="00573D8E"/>
    <w:rsid w:val="00584BA0"/>
    <w:rsid w:val="005A5E27"/>
    <w:rsid w:val="005B56F1"/>
    <w:rsid w:val="005D28A5"/>
    <w:rsid w:val="005E69D2"/>
    <w:rsid w:val="005F3DB5"/>
    <w:rsid w:val="005F7B2B"/>
    <w:rsid w:val="00604337"/>
    <w:rsid w:val="006124C5"/>
    <w:rsid w:val="00616AE3"/>
    <w:rsid w:val="00627D07"/>
    <w:rsid w:val="006329DC"/>
    <w:rsid w:val="00632EBB"/>
    <w:rsid w:val="00635ED8"/>
    <w:rsid w:val="00647380"/>
    <w:rsid w:val="006A3076"/>
    <w:rsid w:val="006A5B60"/>
    <w:rsid w:val="006C0B51"/>
    <w:rsid w:val="006D1E27"/>
    <w:rsid w:val="006D223B"/>
    <w:rsid w:val="006E35B1"/>
    <w:rsid w:val="00703EC5"/>
    <w:rsid w:val="00705922"/>
    <w:rsid w:val="007063CE"/>
    <w:rsid w:val="007068B2"/>
    <w:rsid w:val="00707090"/>
    <w:rsid w:val="00721AAF"/>
    <w:rsid w:val="00744D21"/>
    <w:rsid w:val="0075496A"/>
    <w:rsid w:val="0079379E"/>
    <w:rsid w:val="007A098D"/>
    <w:rsid w:val="007A27E9"/>
    <w:rsid w:val="00851B54"/>
    <w:rsid w:val="00867589"/>
    <w:rsid w:val="008725DC"/>
    <w:rsid w:val="008819AB"/>
    <w:rsid w:val="00893C4A"/>
    <w:rsid w:val="008A7D0F"/>
    <w:rsid w:val="008B5ED1"/>
    <w:rsid w:val="008C16F1"/>
    <w:rsid w:val="00912466"/>
    <w:rsid w:val="00914293"/>
    <w:rsid w:val="00920A90"/>
    <w:rsid w:val="00925247"/>
    <w:rsid w:val="009266A4"/>
    <w:rsid w:val="0094310E"/>
    <w:rsid w:val="00955211"/>
    <w:rsid w:val="00981A9C"/>
    <w:rsid w:val="009A098E"/>
    <w:rsid w:val="009C42DE"/>
    <w:rsid w:val="009D2A1C"/>
    <w:rsid w:val="009D4344"/>
    <w:rsid w:val="00A015F7"/>
    <w:rsid w:val="00A04D78"/>
    <w:rsid w:val="00A070BA"/>
    <w:rsid w:val="00A4461A"/>
    <w:rsid w:val="00A743D8"/>
    <w:rsid w:val="00A90E1D"/>
    <w:rsid w:val="00A96E4A"/>
    <w:rsid w:val="00AA4E55"/>
    <w:rsid w:val="00AC5D08"/>
    <w:rsid w:val="00AD4595"/>
    <w:rsid w:val="00AE06D6"/>
    <w:rsid w:val="00B067C2"/>
    <w:rsid w:val="00B1467E"/>
    <w:rsid w:val="00B23D65"/>
    <w:rsid w:val="00B25669"/>
    <w:rsid w:val="00B64EC8"/>
    <w:rsid w:val="00B76C3A"/>
    <w:rsid w:val="00BA1EC6"/>
    <w:rsid w:val="00BB597F"/>
    <w:rsid w:val="00BC48C7"/>
    <w:rsid w:val="00BE2F69"/>
    <w:rsid w:val="00BF1719"/>
    <w:rsid w:val="00BF1DA0"/>
    <w:rsid w:val="00C1270E"/>
    <w:rsid w:val="00C16913"/>
    <w:rsid w:val="00C21E47"/>
    <w:rsid w:val="00C22057"/>
    <w:rsid w:val="00C417E4"/>
    <w:rsid w:val="00C50F4E"/>
    <w:rsid w:val="00CB341A"/>
    <w:rsid w:val="00CB7ECF"/>
    <w:rsid w:val="00CC68C0"/>
    <w:rsid w:val="00CD553E"/>
    <w:rsid w:val="00D16F94"/>
    <w:rsid w:val="00D7060A"/>
    <w:rsid w:val="00D80E2F"/>
    <w:rsid w:val="00DA0225"/>
    <w:rsid w:val="00DC13AB"/>
    <w:rsid w:val="00DF6072"/>
    <w:rsid w:val="00DF79CA"/>
    <w:rsid w:val="00E07322"/>
    <w:rsid w:val="00E13F95"/>
    <w:rsid w:val="00E30FF3"/>
    <w:rsid w:val="00E3690C"/>
    <w:rsid w:val="00E4194B"/>
    <w:rsid w:val="00E96A27"/>
    <w:rsid w:val="00EB3184"/>
    <w:rsid w:val="00EB6318"/>
    <w:rsid w:val="00EC43ED"/>
    <w:rsid w:val="00ED5696"/>
    <w:rsid w:val="00EF4458"/>
    <w:rsid w:val="00F02A76"/>
    <w:rsid w:val="00F22550"/>
    <w:rsid w:val="00F44A69"/>
    <w:rsid w:val="00F473EA"/>
    <w:rsid w:val="00F54F81"/>
    <w:rsid w:val="00F64A6E"/>
    <w:rsid w:val="00F65D8C"/>
    <w:rsid w:val="00F66008"/>
    <w:rsid w:val="00F67AF8"/>
    <w:rsid w:val="00F72919"/>
    <w:rsid w:val="00F75E41"/>
    <w:rsid w:val="00FB21A6"/>
    <w:rsid w:val="00FB544A"/>
    <w:rsid w:val="00FC310A"/>
    <w:rsid w:val="00FE1323"/>
    <w:rsid w:val="00FF27A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1846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UCA</cp:lastModifiedBy>
  <cp:revision>3</cp:revision>
  <cp:lastPrinted>2016-02-24T13:50:00Z</cp:lastPrinted>
  <dcterms:created xsi:type="dcterms:W3CDTF">2016-10-24T11:24:00Z</dcterms:created>
  <dcterms:modified xsi:type="dcterms:W3CDTF">2016-10-26T08:08:00Z</dcterms:modified>
</cp:coreProperties>
</file>